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3C6E47"/>
          <w:sz w:val="20"/>
          <w:szCs w:val="20"/>
        </w:rPr>
        <w:t xml:space="preserve">NOTE D'INFORMATION</w:t>
      </w:r>
    </w:p>
    <w:p>
      <w:pPr>
        <w:spacing w:after="60"/>
      </w:pPr>
      <w:r>
        <w:rPr>
          <w:b/>
          <w:bCs/>
          <w:color w:val="2D3049"/>
          <w:sz w:val="34"/>
          <w:szCs w:val="34"/>
        </w:rPr>
        <w:t xml:space="preserve">Financer les investissements qui réduisent le risque climatique</w:t>
      </w:r>
    </w:p>
    <w:p>
      <w:pPr>
        <w:pBdr>
          <w:bottom w:val="single" w:color="2D3049" w:sz="8" w:space="4"/>
        </w:pBdr>
        <w:spacing w:after="240"/>
      </w:pPr>
      <w:r>
        <w:rPr>
          <w:i/>
          <w:iCs/>
          <w:color w:val="555555"/>
          <w:sz w:val="22"/>
          <w:szCs w:val="22"/>
        </w:rPr>
        <w:t xml:space="preserve">De la provision pour risques aux leviers de l'adaptation : couvrir les coûts ou réduire l'exposition</w:t>
      </w:r>
    </w:p>
    <w:p>
      <w:pPr>
        <w:spacing w:after="160" w:line="276"/>
      </w:pPr>
      <w:r>
        <w:rPr>
          <w:b/>
          <w:bCs/>
        </w:rPr>
        <w:t xml:space="preserve">Objet. </w:t>
      </w:r>
      <w:r>
        <w:t xml:space="preserve">Le dérèglement climatique expose les entreprises à des risques qui s'intensifient — sécheresses, canicules, grêle, inondations — au point que les assureurs eux-mêmes les voient croître et ajustent primes et garanties. Face à cette pression montante, les entreprises se heurtent à un blocage : les outils comptables et fiscaux qui leur permettraient de mettre des moyens de côté pour s'y préparer sont, en droit commun, largement fermés. On ne provisionne pas un aléa diffus, et il n'existe pas de « provision pour investir » de portée générale. D'où la question : peut-on malgré tout « provisionner » pour financer les investissements qui réduisent l'exposition — et non seulement en couvrir les coûts ?</w:t>
      </w:r>
    </w:p>
    <w:p>
      <w:pPr>
        <w:spacing w:after="160" w:line="276"/>
      </w:pPr>
      <w:r>
        <w:t xml:space="preserve">Le cœur du sujet n'est pas le montage financier opérationnel, mais la logique comptable qui sépare le fait de couvrir un risque du fait de le réduire. Cette note rappelle d'abord ce que la provision pour risques permet et, surtout, ne permet pas face au climat ; montre comment, là où le droit commun bloque, le législateur a créé des dérogations ciblées (coopératives agricoles, sociétés coopératives de production) ; distingue trois niveaux d'intervention — transférer, redistribuer, réduire — pour établir que seul l'investissement d'adaptation agit sur les causes ; précise son traitement au bilan, du passif vers l'actif ; et situe en dernier lieu, à titre de repères, les leviers concrets de financement.</w:t>
      </w:r>
    </w:p>
    <w:p>
      <w:pPr>
        <w:pStyle w:val="Heading1"/>
      </w:pPr>
      <w:r>
        <w:t xml:space="preserve">1. Le principe : risque large, provision étroite</w:t>
      </w:r>
    </w:p>
    <w:p>
      <w:pPr>
        <w:spacing w:after="160" w:line="276"/>
      </w:pPr>
      <w:r>
        <w:t xml:space="preserve">Le risque, au sens économique, recouvre l'ensemble des aléas susceptibles d'affecter une entreprise : aléas climatiques, de marché, technologiques, perte d'exploitation, baisse de revenus. C'est une exposition, par nature très large.</w:t>
      </w:r>
    </w:p>
    <w:p>
      <w:pPr>
        <w:spacing w:after="160" w:line="276"/>
      </w:pPr>
      <w:r>
        <w:t xml:space="preserve">La provision pour risques a un périmètre beaucoup plus étroit. Elle ne se constitue que lorsqu'un risque s'est cristallisé en une obligation envers un tiers, née d'un événement passé. Trois conditions cumulatives doivent être réunies à la clôture :</w:t>
      </w:r>
    </w:p>
    <w:p>
      <w:pPr>
        <w:pStyle w:val="ListParagraph"/>
        <w:numPr>
          <w:ilvl w:val="0"/>
          <w:numId w:val="2"/>
        </w:numPr>
        <w:spacing w:after="100" w:line="276"/>
      </w:pPr>
      <w:r>
        <w:rPr>
          <w:b/>
          <w:bCs/>
        </w:rPr>
        <w:t xml:space="preserve">une obligation </w:t>
      </w:r>
      <w:r>
        <w:t xml:space="preserve">(juridique ou implicite) à l'égard d'un tiers, née d'un événement passé ;</w:t>
      </w:r>
    </w:p>
    <w:p>
      <w:pPr>
        <w:pStyle w:val="ListParagraph"/>
        <w:numPr>
          <w:ilvl w:val="0"/>
          <w:numId w:val="2"/>
        </w:numPr>
        <w:spacing w:after="100" w:line="276"/>
      </w:pPr>
      <w:r>
        <w:rPr>
          <w:b/>
          <w:bCs/>
        </w:rPr>
        <w:t xml:space="preserve">une sortie de ressources probable, </w:t>
      </w:r>
      <w:r>
        <w:t xml:space="preserve">sans contrepartie au moins équivalente attendue ;</w:t>
      </w:r>
    </w:p>
    <w:p>
      <w:pPr>
        <w:pStyle w:val="ListParagraph"/>
        <w:numPr>
          <w:ilvl w:val="0"/>
          <w:numId w:val="2"/>
        </w:numPr>
        <w:spacing w:after="100" w:line="276"/>
      </w:pPr>
      <w:r>
        <w:rPr>
          <w:b/>
          <w:bCs/>
        </w:rPr>
        <w:t xml:space="preserve">un montant estimable </w:t>
      </w:r>
      <w:r>
        <w:t xml:space="preserve">de façon fiable.</w:t>
      </w:r>
    </w:p>
    <w:p>
      <w:pPr>
        <w:spacing w:after="160" w:line="276"/>
      </w:pPr>
      <w:r>
        <w:t xml:space="preserve">Si une seule de ces conditions manque, il n'y a pas de provision. C'est tout l'écart entre les deux notions : le périmètre du risque est large, celui de la provision est restreint.</w:t>
      </w:r>
    </w:p>
    <w:p>
      <w:pPr>
        <w:pStyle w:val="Heading2"/>
      </w:pPr>
      <w:r>
        <w:t xml:space="preserve">Le cas du dommage causé à autrui</w:t>
      </w:r>
    </w:p>
    <w:p>
      <w:pPr>
        <w:spacing w:after="160" w:line="276"/>
      </w:pPr>
      <w:r>
        <w:t xml:space="preserve">Le dommage à autrui est l'illustration la plus claire d'une obligation envers un tiers : litige engagé, mise en cause de la responsabilité de l'entreprise, garantie due à un client, remise en état imposée par la réglementation. Dans ces cas, l'obligation envers le tiers fait naître une provision (pour litige, pour garantie, pour remise en état). Mais ce n'est qu'un cas parmi d'autres : le déclencheur n'est pas le dommage en lui-même, c'est l'obligation envers un tiers qu'il fait naître.</w:t>
      </w:r>
    </w:p>
    <w:p>
      <w:pPr>
        <w:pStyle w:val="Heading2"/>
      </w:pPr>
      <w:r>
        <w:t xml:space="preserve">L'angle du risque climatique</w:t>
      </w:r>
    </w:p>
    <w:p>
      <w:pPr>
        <w:spacing w:after="160" w:line="276"/>
      </w:pPr>
      <w:r>
        <w:t xml:space="preserve">C'est ici que la distinction devient décisive. Le risque climatique « subi » — canicule, sécheresse, gel, inondation à venir — ne crée, en lui-même, aucune obligation envers un tiers : c'est un aléa qui pèse sur l'entreprise. Or un aléa général ne se provisionne pas. Beaucoup de risques bien réels échappent donc à la provision, au premier rang desquels le risque climatique diffus.</w:t>
      </w:r>
    </w:p>
    <w:p>
      <w:pPr>
        <w:spacing w:after="160" w:line="276"/>
      </w:pPr>
      <w:r>
        <w:t xml:space="preserve">Ces expositions ne disparaissent pas pour autant : elles relèvent de l'information en annexe des comptes et du reporting de durabilité (CSRD / normes ESRS), qui décrivent l'exposition et ses effets potentiels même quand rien n'est comptabilisé. La provision, elle, ne se déclenche que lorsque le climat se traduit en obligation envers un tiers (remise en état d'un site, dommage causé, contrat devenu déficitaire à honorer).</w:t>
      </w:r>
    </w:p>
    <w:p>
      <w:pPr>
        <w:pBdr>
          <w:left w:val="single" w:color="3C6E47" w:sz="18" w:space="8"/>
        </w:pBdr>
        <w:shd w:fill="EEF2EC" w:val="clear"/>
        <w:spacing w:after="200" w:before="60"/>
      </w:pPr>
      <w:r>
        <w:rPr>
          <w:i/>
          <w:iCs/>
          <w:color w:val="2D3049"/>
          <w:sz w:val="21"/>
          <w:szCs w:val="21"/>
        </w:rPr>
        <w:t xml:space="preserve">En résumé : risque diffus → pas de provision (information en annexe / reporting de durabilité) ; obligation née envers un tiers → provision.</w:t>
      </w:r>
    </w:p>
    <w:p>
      <w:pPr>
        <w:pStyle w:val="Heading1"/>
      </w:pPr>
      <w:r>
        <w:t xml:space="preserve">2. Quand le droit commun ne suffit pas : les dérogations légales</w:t>
      </w:r>
    </w:p>
    <w:p>
      <w:pPr>
        <w:spacing w:after="160" w:line="276"/>
      </w:pPr>
      <w:r>
        <w:t xml:space="preserve">Puisque beaucoup de risques n'ouvrent pas droit à provision, certaines structures à finalité collective ont obtenu du législateur la faculté de provisionner là où le principe général l'interdisait. La mécanique est toujours la même : le droit commun ne le permet pas, une loi spéciale crée une exception ciblée. Sur quoi repose alors la dérogation ? Sur une base légale, et non sur le principe comptable.</w:t>
      </w:r>
    </w:p>
    <w:p>
      <w:pPr>
        <w:pStyle w:val="Heading2"/>
      </w:pPr>
      <w:r>
        <w:t xml:space="preserve">a) Coopératives agricoles : la provision pour engagement de soutien des coopérateurs</w:t>
      </w:r>
    </w:p>
    <w:p>
      <w:pPr>
        <w:spacing w:after="160" w:line="276"/>
      </w:pPr>
      <w:r>
        <w:t xml:space="preserve">La loi d'orientation du 2 mars 2022 (réforme des outils de gestion des risques climatiques en agriculture) autorise, à compter du 1er janvier 2023, les coopératives à constituer une « provision pour engagement de soutien des coopératives envers les associés coopérateurs face aux aléas agricoles ». Le champ est volontairement large : aléas climatiques (gel, sécheresse, intempéries), mais aussi biologiques, sanitaires ou économiques (volatilité des prix, hausse du coût des approvisionnements).</w:t>
      </w:r>
    </w:p>
    <w:p>
      <w:pPr>
        <w:spacing w:after="160" w:line="276"/>
      </w:pPr>
      <w:r>
        <w:rPr>
          <w:b/>
          <w:bCs/>
        </w:rPr>
        <w:t xml:space="preserve">Pourquoi une loi a été nécessaire. </w:t>
      </w:r>
      <w:r>
        <w:t xml:space="preserve">L'épisode est éclairant. Lorsque l'Autorité des normes comptables a approuvé le nouveau plan comptable des coopératives en 2021, elle a d'abord refusé ce dispositif, au motif que le seul principe de solidarité ne constituait pas une base juridique suffisante. C'est exactement la limite du principe : l'adhérent d'une coopérative n'est pas un tiers créancier mais un associé coopérateur, et la coopérative n'a aucune obligation juridique de l'indemniser. La volonté de soutenir ses membres ne suffisait donc pas à fonder une provision.</w:t>
      </w:r>
    </w:p>
    <w:p>
      <w:pPr>
        <w:spacing w:after="160" w:line="276"/>
      </w:pPr>
      <w:r>
        <w:rPr>
          <w:b/>
          <w:bCs/>
        </w:rPr>
        <w:t xml:space="preserve">Sur quoi repose la dérogation. </w:t>
      </w:r>
      <w:r>
        <w:t xml:space="preserve">Faute de base comptable, il a fallu créer la base juridique par la loi. Un amendement, recommandé par la mission d'information parlementaire, a inséré le dispositif dans le Code rural (article 10 de la loi) : le règlement intérieur de la coopérative peut désormais fixer les modalités de constitution et de reprise de cette provision. La base légale ainsi acquise transforme un engagement de soutien volontaire en fondement provisionnable. Ce n'est donc pas un dommage causé à autrui qui fonde la provision, mais un engagement de soutien que la loi rend opposable.</w:t>
      </w:r>
    </w:p>
    <w:p>
      <w:pPr>
        <w:spacing w:after="160" w:line="276"/>
      </w:pPr>
      <w:r>
        <w:rPr>
          <w:b/>
          <w:bCs/>
        </w:rPr>
        <w:t xml:space="preserve">Finalité et garde-fous. </w:t>
      </w:r>
      <w:r>
        <w:t xml:space="preserve">La logique est celle d'un amortisseur de revenu : « un euro provisionné au titre des aléas sera un euro reversé aux associés coopérateurs ». Parce qu'elle touche à la répartition du résultat entre les membres, la provision est étroitement encadrée : modalités inscrites au règlement intérieur, et mention de toutes les opérations en annexe des comptes et dans le rapport annuel aux associés.</w:t>
      </w:r>
    </w:p>
    <w:p>
      <w:pPr>
        <w:pStyle w:val="Heading2"/>
      </w:pPr>
      <w:r>
        <w:t xml:space="preserve">b) Sociétés coopératives de production (SCOP) : la provision pour investissement</w:t>
      </w:r>
    </w:p>
    <w:p>
      <w:pPr>
        <w:spacing w:after="160" w:line="276"/>
      </w:pPr>
      <w:r>
        <w:t xml:space="preserve">Même mécanique, autre finalité. La « provision pour investissement » a cessé d'être déductible pour les exercices clos à compter du 17 août 2012, sauf pour les SCOP. Objectif assumé du législateur : renforcer leurs fonds propres et leur capacité d'investissement. Elle est déductible du résultat fiscal et doit, dans les deux ans suivant sa constitution, être employée à l'acquisition ou à la création d'immobilisations ; à défaut, elle est rapportée au bénéfice imposable et taxée. Elle est adossée à la participation des salariés (fraction de la réserve spéciale de participation).</w:t>
      </w:r>
    </w:p>
    <w:p>
      <w:pPr>
        <w:spacing w:after="160" w:line="276"/>
      </w:pPr>
      <w:r>
        <w:rPr>
          <w:b/>
          <w:bCs/>
        </w:rPr>
        <w:t xml:space="preserve">Une nuance de nature. </w:t>
      </w:r>
      <w:r>
        <w:t xml:space="preserve">Cette « provision » n'en est pas une au sens comptable. L'administration fiscale comme le Sénat le soulignent : elle ne couvre ni dépréciation ni perte probable ; c'est en réalité une réserve défiscalisée que la loi a nommée « provision ». Elle appartient à la famille des provisions réglementées, à côté des provisions pour reconstitution des gisements miniers et pétroliers ou du régime spécial des entreprises de presse (art. 39 bis A et 39 bis B du CGI).</w:t>
      </w:r>
    </w:p>
    <w:p>
      <w:pPr>
        <w:pStyle w:val="Heading2"/>
      </w:pPr>
      <w:r>
        <w:t xml:space="preserve">La structure commune à toutes ces dérogations</w:t>
      </w:r>
    </w:p>
    <w:p>
      <w:pPr>
        <w:spacing w:after="160" w:line="276"/>
      </w:pPr>
      <w:r>
        <w:t xml:space="preserve">Dans chaque cas, on retrouve le même enchaînement : un risque ou un objectif réel, mais aucune obligation envers un tiers au sens du droit commun, donc impossibilité de provisionner ; puis une loi spéciale qui crée la base juridique manquante, souvent au bénéfice de structures coopératives ou à finalité collective. La dérogation ne découle jamais du principe comptable — elle le contourne par un texte.</w:t>
      </w:r>
    </w:p>
    <w:p>
      <w:pPr>
        <w:pStyle w:val="Heading1"/>
      </w:pPr>
      <w:r>
        <w:t xml:space="preserve">3. Le traitement au bilan : du passif vers l'actif</w:t>
      </w:r>
    </w:p>
    <w:p>
      <w:pPr>
        <w:spacing w:after="160" w:line="276"/>
      </w:pPr>
      <w:r>
        <w:t xml:space="preserve">Point essentiel, valable pour toutes ces provisions : une provision figure toujours au passif, jamais à l'actif. Les provisions pour risques se logent au compte 15 (provisions pour risques et charges) ; les provisions réglementées, dont la provision pour investissement, au compte 14, assimilé aux capitaux propres.</w:t>
      </w:r>
    </w:p>
    <w:p>
      <w:pPr>
        <w:spacing w:after="160" w:line="276"/>
      </w:pPr>
      <w:r>
        <w:rPr>
          <w:b/>
          <w:bCs/>
        </w:rPr>
        <w:t xml:space="preserve">Pour une provision pour investissement, le mécanisme se déroule en trois temps :</w:t>
      </w:r>
    </w:p>
    <w:p>
      <w:pPr>
        <w:pStyle w:val="ListParagraph"/>
        <w:numPr>
          <w:ilvl w:val="0"/>
          <w:numId w:val="3"/>
        </w:numPr>
        <w:spacing w:after="100" w:line="276"/>
      </w:pPr>
      <w:r>
        <w:rPr>
          <w:b/>
          <w:bCs/>
        </w:rPr>
        <w:t xml:space="preserve">À la dotation. </w:t>
      </w:r>
      <w:r>
        <w:t xml:space="preserve">On réduit le résultat imposable et on inscrit la provision au passif (provisions réglementées). Rien à l'actif ; aucune trésorerie n'est déplacée.</w:t>
      </w:r>
    </w:p>
    <w:p>
      <w:pPr>
        <w:pStyle w:val="ListParagraph"/>
        <w:numPr>
          <w:ilvl w:val="0"/>
          <w:numId w:val="3"/>
        </w:numPr>
        <w:spacing w:after="100" w:line="276"/>
      </w:pPr>
      <w:r>
        <w:rPr>
          <w:b/>
          <w:bCs/>
        </w:rPr>
        <w:t xml:space="preserve">Quand l'investissement est réalisé. </w:t>
      </w:r>
      <w:r>
        <w:t xml:space="preserve">On achète l'immobilisation, qui entre à l'actif et qui est payée par de la trésorerie réelle. La provision est alors reprise (créditée au résultat), sans flux de trésorerie associé. La provision au passif et l'immobilisation à l'actif sont deux écritures distinctes, à deux moments différents.</w:t>
      </w:r>
    </w:p>
    <w:p>
      <w:pPr>
        <w:pStyle w:val="ListParagraph"/>
        <w:numPr>
          <w:ilvl w:val="0"/>
          <w:numId w:val="3"/>
        </w:numPr>
        <w:spacing w:after="100" w:line="276"/>
      </w:pPr>
      <w:r>
        <w:rPr>
          <w:b/>
          <w:bCs/>
        </w:rPr>
        <w:t xml:space="preserve">Si l'investissement n'est pas réalisé dans le délai. </w:t>
      </w:r>
      <w:r>
        <w:t xml:space="preserve">La provision est rapportée au bénéfice imposable et taxée. L'avantage n'aura été qu'un report d'imposition, c'est-à-dire une facilité de trésorerie temporaire.</w:t>
      </w:r>
    </w:p>
    <w:p>
      <w:pPr>
        <w:pStyle w:val="Heading2"/>
      </w:pPr>
      <w:r>
        <w:t xml:space="preserve">Synthèse du cheminement comptable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413"/>
        <w:gridCol w:w="3213"/>
      </w:tblGrid>
      <w:tr>
        <w:trPr>
          <w:tblHeader/>
        </w:trPr>
        <w:tc>
          <w:tcPr>
            <w:tcW w:type="dxa" w:w="2400"/>
            <w:tcBorders>
              <w:top w:val="single" w:color="CCCCCC" w:sz="1"/>
              <w:left w:val="single" w:color="CCCCCC" w:sz="1"/>
              <w:bottom w:val="single" w:color="CCCCCC" w:sz="1"/>
              <w:right w:val="single" w:color="CCCCCC" w:sz="1"/>
            </w:tcBorders>
            <w:shd w:fill="2D3049" w:val="clear"/>
            <w:tcMar>
              <w:top w:type="dxa" w:w="80"/>
              <w:left w:type="dxa" w:w="120"/>
              <w:bottom w:type="dxa" w:w="80"/>
              <w:right w:type="dxa" w:w="120"/>
            </w:tcMar>
          </w:tcPr>
          <w:p>
            <w:r>
              <w:rPr>
                <w:b/>
                <w:bCs/>
                <w:color w:val="FFFFFF"/>
                <w:sz w:val="20"/>
                <w:szCs w:val="20"/>
              </w:rPr>
              <w:t xml:space="preserve">Étape</w:t>
            </w:r>
          </w:p>
        </w:tc>
        <w:tc>
          <w:tcPr>
            <w:tcW w:type="dxa" w:w="3413"/>
            <w:tcBorders>
              <w:top w:val="single" w:color="CCCCCC" w:sz="1"/>
              <w:left w:val="single" w:color="CCCCCC" w:sz="1"/>
              <w:bottom w:val="single" w:color="CCCCCC" w:sz="1"/>
              <w:right w:val="single" w:color="CCCCCC" w:sz="1"/>
            </w:tcBorders>
            <w:shd w:fill="2D3049" w:val="clear"/>
            <w:tcMar>
              <w:top w:type="dxa" w:w="80"/>
              <w:left w:type="dxa" w:w="120"/>
              <w:bottom w:type="dxa" w:w="80"/>
              <w:right w:type="dxa" w:w="120"/>
            </w:tcMar>
          </w:tcPr>
          <w:p>
            <w:r>
              <w:rPr>
                <w:b/>
                <w:bCs/>
                <w:color w:val="FFFFFF"/>
                <w:sz w:val="20"/>
                <w:szCs w:val="20"/>
              </w:rPr>
              <w:t xml:space="preserve">Au passif</w:t>
            </w:r>
          </w:p>
        </w:tc>
        <w:tc>
          <w:tcPr>
            <w:tcW w:type="dxa" w:w="3213"/>
            <w:tcBorders>
              <w:top w:val="single" w:color="CCCCCC" w:sz="1"/>
              <w:left w:val="single" w:color="CCCCCC" w:sz="1"/>
              <w:bottom w:val="single" w:color="CCCCCC" w:sz="1"/>
              <w:right w:val="single" w:color="CCCCCC" w:sz="1"/>
            </w:tcBorders>
            <w:shd w:fill="2D3049" w:val="clear"/>
            <w:tcMar>
              <w:top w:type="dxa" w:w="80"/>
              <w:left w:type="dxa" w:w="120"/>
              <w:bottom w:type="dxa" w:w="80"/>
              <w:right w:type="dxa" w:w="120"/>
            </w:tcMar>
          </w:tcPr>
          <w:p>
            <w:r>
              <w:rPr>
                <w:b/>
                <w:bCs/>
                <w:color w:val="FFFFFF"/>
                <w:sz w:val="20"/>
                <w:szCs w:val="20"/>
              </w:rPr>
              <w:t xml:space="preserve">À l'actif</w:t>
            </w:r>
          </w:p>
        </w:tc>
      </w:tr>
      <w:tr>
        <w:tc>
          <w:tcPr>
            <w:tcW w:type="dxa" w:w="2400"/>
            <w:tcBorders>
              <w:top w:val="single" w:color="CCCCCC" w:sz="1"/>
              <w:left w:val="single" w:color="CCCCCC" w:sz="1"/>
              <w:bottom w:val="single" w:color="CCCCCC" w:sz="1"/>
              <w:right w:val="single" w:color="CCCCCC" w:sz="1"/>
            </w:tcBorders>
            <w:shd w:fill="EEF2EC" w:val="clear"/>
            <w:tcMar>
              <w:top w:type="dxa" w:w="80"/>
              <w:left w:type="dxa" w:w="120"/>
              <w:bottom w:type="dxa" w:w="80"/>
              <w:right w:type="dxa" w:w="120"/>
            </w:tcMar>
          </w:tcPr>
          <w:p>
            <w:pPr>
              <w:spacing w:line="252"/>
            </w:pPr>
            <w:r>
              <w:rPr>
                <w:b/>
                <w:bCs/>
                <w:sz w:val="20"/>
                <w:szCs w:val="20"/>
              </w:rPr>
              <w:t xml:space="preserve">Dotation</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52"/>
            </w:pPr>
            <w:r>
              <w:rPr>
                <w:sz w:val="20"/>
                <w:szCs w:val="20"/>
              </w:rPr>
              <w:t xml:space="preserve">Inscription de la provision (compte 14 ou 15)</w:t>
            </w:r>
          </w:p>
        </w:tc>
        <w:tc>
          <w:tcPr>
            <w:tcW w:type="dxa" w:w="32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52"/>
            </w:pPr>
            <w:r>
              <w:rPr>
                <w:sz w:val="20"/>
                <w:szCs w:val="20"/>
              </w:rPr>
              <w:t xml:space="preserve">Aucun mouvement</w:t>
            </w:r>
          </w:p>
        </w:tc>
      </w:tr>
      <w:tr>
        <w:tc>
          <w:tcPr>
            <w:tcW w:type="dxa" w:w="2400"/>
            <w:tcBorders>
              <w:top w:val="single" w:color="CCCCCC" w:sz="1"/>
              <w:left w:val="single" w:color="CCCCCC" w:sz="1"/>
              <w:bottom w:val="single" w:color="CCCCCC" w:sz="1"/>
              <w:right w:val="single" w:color="CCCCCC" w:sz="1"/>
            </w:tcBorders>
            <w:shd w:fill="EEF2EC" w:val="clear"/>
            <w:tcMar>
              <w:top w:type="dxa" w:w="80"/>
              <w:left w:type="dxa" w:w="120"/>
              <w:bottom w:type="dxa" w:w="80"/>
              <w:right w:type="dxa" w:w="120"/>
            </w:tcMar>
          </w:tcPr>
          <w:p>
            <w:pPr>
              <w:spacing w:line="252"/>
            </w:pPr>
            <w:r>
              <w:rPr>
                <w:b/>
                <w:bCs/>
                <w:sz w:val="20"/>
                <w:szCs w:val="20"/>
              </w:rPr>
              <w:t xml:space="preserve">Réalisation de l'investissement</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52"/>
            </w:pPr>
            <w:r>
              <w:rPr>
                <w:sz w:val="20"/>
                <w:szCs w:val="20"/>
              </w:rPr>
              <w:t xml:space="preserve">Reprise de la provision (au résultat, sans trésorerie)</w:t>
            </w:r>
          </w:p>
        </w:tc>
        <w:tc>
          <w:tcPr>
            <w:tcW w:type="dxa" w:w="3213"/>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pPr>
              <w:spacing w:line="252"/>
            </w:pPr>
            <w:r>
              <w:rPr>
                <w:sz w:val="20"/>
                <w:szCs w:val="20"/>
              </w:rPr>
              <w:t xml:space="preserve">Entrée de l'immobilisation (compte 21), payée par trésorerie réelle</w:t>
            </w:r>
          </w:p>
        </w:tc>
      </w:tr>
      <w:tr>
        <w:tc>
          <w:tcPr>
            <w:tcW w:type="dxa" w:w="2400"/>
            <w:tcBorders>
              <w:top w:val="single" w:color="CCCCCC" w:sz="1"/>
              <w:left w:val="single" w:color="CCCCCC" w:sz="1"/>
              <w:bottom w:val="single" w:color="CCCCCC" w:sz="1"/>
              <w:right w:val="single" w:color="CCCCCC" w:sz="1"/>
            </w:tcBorders>
            <w:shd w:fill="EEF2EC" w:val="clear"/>
            <w:tcMar>
              <w:top w:type="dxa" w:w="80"/>
              <w:left w:type="dxa" w:w="120"/>
              <w:bottom w:type="dxa" w:w="80"/>
              <w:right w:type="dxa" w:w="120"/>
            </w:tcMar>
          </w:tcPr>
          <w:p>
            <w:pPr>
              <w:spacing w:line="252"/>
            </w:pPr>
            <w:r>
              <w:rPr>
                <w:b/>
                <w:bCs/>
                <w:sz w:val="20"/>
                <w:szCs w:val="20"/>
              </w:rPr>
              <w:t xml:space="preserve">Non-emploi dans le délai</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52"/>
            </w:pPr>
            <w:r>
              <w:rPr>
                <w:sz w:val="20"/>
                <w:szCs w:val="20"/>
              </w:rPr>
              <w:t xml:space="preserve">Réintégration au bénéfice imposable (taxation)</w:t>
            </w:r>
          </w:p>
        </w:tc>
        <w:tc>
          <w:tcPr>
            <w:tcW w:type="dxa" w:w="32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52"/>
            </w:pPr>
            <w:r>
              <w:rPr>
                <w:sz w:val="20"/>
                <w:szCs w:val="20"/>
              </w:rPr>
              <w:t xml:space="preserve">Aucun mouvement</w:t>
            </w:r>
          </w:p>
        </w:tc>
      </w:tr>
    </w:tbl>
    <w:p>
      <w:pPr>
        <w:spacing w:after="200" w:before="80"/>
      </w:pPr>
      <w:r>
        <w:rPr>
          <w:i/>
          <w:iCs/>
          <w:color w:val="555555"/>
          <w:sz w:val="18"/>
          <w:szCs w:val="18"/>
        </w:rPr>
        <w:t xml:space="preserve">Lecture : aucune provision ne se trouve à l'actif, et aucune ne « contient » l'argent de l'investissement. Seule l'immobilisation acquise figure à l'actif, financée par de la trésorerie réelle.</w:t>
      </w:r>
    </w:p>
    <w:p>
      <w:pPr>
        <w:pStyle w:val="Heading2"/>
      </w:pPr>
      <w:r>
        <w:t xml:space="preserve">Le lien réel avec l'investissement : l'autofinancement</w:t>
      </w:r>
    </w:p>
    <w:p>
      <w:pPr>
        <w:spacing w:after="160" w:line="276"/>
      </w:pPr>
      <w:r>
        <w:t xml:space="preserve">Si la provision ne finance pas directement l'investissement, comment une mise en réserve peut-elle malgré tout y conduire ? Par l'autofinancement, et le lien est indirect. Doter une provision ou une réserve réduit le résultat distribuable : le bénéfice n'est pas versé en dividendes, il reste dans l'entreprise. Cette part de résultat conservée alimente la trésorerie — laquelle pourra, le moment venu, payer l'investissement. La provision ne contient pas l'argent ; elle l'empêche de sortir.</w:t>
      </w:r>
    </w:p>
    <w:p>
      <w:pPr>
        <w:spacing w:after="160" w:line="276"/>
      </w:pPr>
      <w:r>
        <w:rPr>
          <w:b/>
          <w:bCs/>
        </w:rPr>
        <w:t xml:space="preserve">Un pont qui franchit le temps. </w:t>
      </w:r>
      <w:r>
        <w:t xml:space="preserve">Le bénéfice se dégage avant l'investissement, exercice après exercice ; la dépense, elle, survient en une fois, le jour de l'achat. La mise en réserve fait tenir ce décalage :</w:t>
      </w:r>
    </w:p>
    <w:p>
      <w:pPr>
        <w:pStyle w:val="ListParagraph"/>
        <w:numPr>
          <w:ilvl w:val="0"/>
          <w:numId w:val="3"/>
        </w:numPr>
        <w:spacing w:after="100" w:line="276"/>
      </w:pPr>
      <w:r>
        <w:rPr>
          <w:b/>
          <w:bCs/>
        </w:rPr>
        <w:t xml:space="preserve">Accumulation. </w:t>
      </w:r>
      <w:r>
        <w:t xml:space="preserve">Sur les exercices qui précèdent, on retient le résultat (réserve au passif). La trésorerie correspondante reste à l'actif et s'accumule : c'est un actif, mais dormant — de la liquidité en attente.</w:t>
      </w:r>
    </w:p>
    <w:p>
      <w:pPr>
        <w:pStyle w:val="ListParagraph"/>
        <w:numPr>
          <w:ilvl w:val="0"/>
          <w:numId w:val="3"/>
        </w:numPr>
        <w:spacing w:after="100" w:line="276"/>
      </w:pPr>
      <w:r>
        <w:rPr>
          <w:b/>
          <w:bCs/>
        </w:rPr>
        <w:t xml:space="preserve">Conversion. </w:t>
      </w:r>
      <w:r>
        <w:t xml:space="preserve">Le jour de l'investissement, cette trésorerie accumulée est employée à acquérir l'immobilisation. On reste à l'actif : la liquidité change simplement de poste, devenant un bien durable. La réserve qui avait « gelé » cet argent est alors reprise.</w:t>
      </w:r>
    </w:p>
    <w:p>
      <w:pPr>
        <w:pStyle w:val="ListParagraph"/>
        <w:numPr>
          <w:ilvl w:val="0"/>
          <w:numId w:val="3"/>
        </w:numPr>
        <w:spacing w:after="100" w:line="276"/>
      </w:pPr>
      <w:r>
        <w:rPr>
          <w:b/>
          <w:bCs/>
        </w:rPr>
        <w:t xml:space="preserve">Mobilisation. </w:t>
      </w:r>
      <w:r>
        <w:t xml:space="preserve">L'immobilisation n'est pas un actif au repos : elle est mise au travail. Le bâtiment rafraîchi, la ressource en eau sécurisée, la culture adaptée réduisent concrètement l'exposition au risque et produisent un rendement qui se répète. C'est un actif mobilisé : du capital productif, et non une dépense consommée.</w:t>
      </w:r>
    </w:p>
    <w:p>
      <w:pPr>
        <w:spacing w:after="160" w:line="276"/>
      </w:pPr>
      <w:r>
        <w:t xml:space="preserve">À aucun moment l'argent ne « descend » du passif vers l'actif : il a toujours été à l'actif, sous forme de trésorerie, puis d'immobilisation. Le passif ne faisait que le verrouiller, le temps que l'investissement se réalise. Encore faut-il que la trésorerie soit effectivement conservée : doter une réserve sans laisser les liquidités correspondantes disponibles vide le pont de sa substance — d'où l'intérêt, parfois, d'isoler ces fonds sur un placement dédié. Le dispositif des SCOP institutionnalise exactement ce pont, en bornant sa durée : l'emploi en immobilisation est obligatoire sous deux ans, à défaut de quoi la somme est réintégrée et taxée.</w:t>
      </w:r>
    </w:p>
    <w:p>
      <w:pPr>
        <w:spacing w:after="60" w:before="120"/>
        <w:jc w:val="center"/>
      </w:pPr>
      <w:r>
        <w:drawing>
          <wp:inline distT="0" distB="0" distL="0" distR="0">
            <wp:extent cx="5334000" cy="2343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334000" cy="2343150"/>
                    </a:xfrm>
                    <a:prstGeom prst="rect">
                      <a:avLst/>
                    </a:prstGeom>
                  </pic:spPr>
                </pic:pic>
              </a:graphicData>
            </a:graphic>
          </wp:inline>
        </w:drawing>
      </w:r>
    </w:p>
    <w:p>
      <w:pPr>
        <w:spacing w:after="200"/>
        <w:jc w:val="center"/>
      </w:pPr>
      <w:r>
        <w:rPr>
          <w:i/>
          <w:iCs/>
          <w:color w:val="555555"/>
          <w:sz w:val="18"/>
          <w:szCs w:val="18"/>
        </w:rPr>
        <w:t xml:space="preserve">Le pont temporel de l'autofinancement : du résultat retenu (passif) à l'actif mobilisé qui réduit le risque.</w:t>
      </w:r>
    </w:p>
    <w:p>
      <w:pPr>
        <w:pStyle w:val="Heading1"/>
      </w:pPr>
      <w:r>
        <w:t xml:space="preserve">4. Couvrir le risque ou le réduire ? Trois niveaux d'intervention</w:t>
      </w:r>
    </w:p>
    <w:p>
      <w:pPr>
        <w:spacing w:after="160" w:line="276"/>
      </w:pPr>
      <w:r>
        <w:t xml:space="preserve">Face au risque climatique, trois leviers se distinguent — et ils n'agissent pas au même endroit. Deux traitent les conséquences du sinistre ; un seul s'attaque à sa cause.</w:t>
      </w:r>
    </w:p>
    <w:p>
      <w:pPr>
        <w:pStyle w:val="ListParagraph"/>
        <w:numPr>
          <w:ilvl w:val="0"/>
          <w:numId w:val="3"/>
        </w:numPr>
        <w:spacing w:after="100" w:line="276"/>
      </w:pPr>
      <w:r>
        <w:rPr>
          <w:b/>
          <w:bCs/>
        </w:rPr>
        <w:t xml:space="preserve">L'assurance transfère le risque. </w:t>
      </w:r>
      <w:r>
        <w:t xml:space="preserve">L'assureur porte le risque à la place de l'entreprise et le mutualise. Pour cela, il constitue des provisions techniques considérables (réserves actuarielles calculées par modélisation de la sinistralité future). Mais l'assurance ne réduit pas le risque : elle le déplace, contre une prime. Quand l'aléa s'aggrave, la prime augmente — et la couverture peut se restreindre, voire se retirer.</w:t>
      </w:r>
    </w:p>
    <w:p>
      <w:pPr>
        <w:pStyle w:val="ListParagraph"/>
        <w:numPr>
          <w:ilvl w:val="0"/>
          <w:numId w:val="3"/>
        </w:numPr>
        <w:spacing w:after="100" w:line="276"/>
      </w:pPr>
      <w:r>
        <w:rPr>
          <w:b/>
          <w:bCs/>
        </w:rPr>
        <w:t xml:space="preserve">La provision de soutien redistribue. </w:t>
      </w:r>
      <w:r>
        <w:t xml:space="preserve">La provision pour aléas des coopératives agricoles est un amortisseur de revenu : elle permet de reverser aux adhérents lorsque le sinistre survient (« un euro provisionné, un euro reversé »). Utile, mais elle non plus ne modifie ni la probabilité ni l'intensité du choc suivant : elle lisse la perte après coup.</w:t>
      </w:r>
    </w:p>
    <w:p>
      <w:pPr>
        <w:pStyle w:val="ListParagraph"/>
        <w:numPr>
          <w:ilvl w:val="0"/>
          <w:numId w:val="3"/>
        </w:numPr>
        <w:spacing w:after="100" w:line="276"/>
      </w:pPr>
      <w:r>
        <w:rPr>
          <w:b/>
          <w:bCs/>
        </w:rPr>
        <w:t xml:space="preserve">L'investissement réduit le risque à la source. </w:t>
      </w:r>
      <w:r>
        <w:t xml:space="preserve">À l'inverse des deux précédents, l'investissement d'adaptation (rafraîchissement passif des bâtiments, sécurisation de la ressource en eau, diversification ou adaptation des cultures, résilience de la chaîne d'approvisionnement) agit sur l'exposition elle-même : il diminue la fréquence et l'intensité des sinistres. C'est précisément la logique de la provision pour investissement des SCOP, où la somme mise de côté doit devenir une immobilisation, et non compenser une perte.</w:t>
      </w:r>
    </w:p>
    <w:p>
      <w:pPr>
        <w:pStyle w:val="Heading2"/>
      </w:pPr>
      <w:r>
        <w:t xml:space="preserve">Pourquoi le troisième levier est économiquement supérieur</w:t>
      </w:r>
    </w:p>
    <w:p>
      <w:pPr>
        <w:spacing w:after="160" w:line="276"/>
      </w:pPr>
      <w:r>
        <w:t xml:space="preserve">L'argument décisif est que le coût du risque climatique n'est pas stable : il croît. Les travaux actuariels sur le provisionnement agricole le documentent à partir des scénarios du GIEC (trajectoire pessimiste RCP 8.5) : les sécheresses s'accentuent sur l'ensemble du territoire, le nombre de jours de sol sec augmente fortement, et la fréquence des orages de grêle progresserait d'environ 40 % à l'horizon 2050, avec des grêlons plus gros. Le risque n'est plus stationnaire ; les méthodes de provisionnement fondées sur l'historique sous-estiment structurellement le futur.</w:t>
      </w:r>
    </w:p>
    <w:p>
      <w:pPr>
        <w:spacing w:after="160" w:line="276"/>
      </w:pPr>
      <w:r>
        <w:t xml:space="preserve">Il en découle une asymétrie de rendement : un euro qui se contente de couvrir (prime d'assurance, provision de redistribution) devient chaque année plus cher à mesure que la sinistralité monte. Un euro investi dans la réduction du risque produit, lui, un bénéfice qui se répète et qui s'amplifie à mesure que le dérèglement s'aggrave. C'est le seul levier dont la rentabilité s'améliore avec le risque — et le seul qui crée un actif durable plutôt qu'une dépense récurrente.</w:t>
      </w:r>
    </w:p>
    <w:p>
      <w:pPr>
        <w:pBdr>
          <w:left w:val="single" w:color="3C6E47" w:sz="18" w:space="8"/>
        </w:pBdr>
        <w:shd w:fill="EEF2EC" w:val="clear"/>
        <w:spacing w:after="200" w:before="60"/>
      </w:pPr>
      <w:r>
        <w:rPr>
          <w:i/>
          <w:iCs/>
          <w:color w:val="2D3049"/>
          <w:sz w:val="21"/>
          <w:szCs w:val="21"/>
        </w:rPr>
        <w:t xml:space="preserve">Assurance et provision de soutien traitent les conséquences du sinistre ; seul l'investissement d'adaptation traite ses causes. Et il est le seul dont le rendement croît avec l'intensité du risque.</w:t>
      </w:r>
    </w:p>
    <w:p>
      <w:pPr>
        <w:pStyle w:val="Heading1"/>
      </w:pPr>
      <w:r>
        <w:t xml:space="preserve">5. Comment financer l'investissement d'adaptation</w:t>
      </w:r>
    </w:p>
    <w:p>
      <w:pPr>
        <w:spacing w:after="160" w:line="276"/>
      </w:pPr>
      <w:r>
        <w:t xml:space="preserve">Une fois admis que l'investissement est le levier le plus pertinent, reste la question pratique du financement. Il ne passe pas par une provision — qui ne contient pas de trésorerie — mais par des ressources réelles, le plus souvent combinées. Repères des principaux dispositifs (montants et critères indicatifs, à vérifier à la date du projet).</w:t>
      </w:r>
    </w:p>
    <w:p>
      <w:pPr>
        <w:pStyle w:val="Heading2"/>
      </w:pPr>
      <w:r>
        <w:t xml:space="preserve">Aides publiques et subventions ADEME</w:t>
      </w:r>
    </w:p>
    <w:p>
      <w:pPr>
        <w:pStyle w:val="ListParagraph"/>
        <w:numPr>
          <w:ilvl w:val="0"/>
          <w:numId w:val="2"/>
        </w:numPr>
        <w:spacing w:after="100" w:line="276"/>
      </w:pPr>
      <w:r>
        <w:rPr>
          <w:b/>
          <w:bCs/>
        </w:rPr>
        <w:t xml:space="preserve">Tremplin pour la transition écologique. </w:t>
      </w:r>
      <w:r>
        <w:t xml:space="preserve">Aide forfaitaire simplifiée pour TPE et PME (jusqu'à environ 200 000 €), couvrant des actions concrètes : isolation, équipements plus sobres, études. Porte d'entrée la plus accessible pour une petite structure.</w:t>
      </w:r>
    </w:p>
    <w:p>
      <w:pPr>
        <w:pStyle w:val="ListParagraph"/>
        <w:numPr>
          <w:ilvl w:val="0"/>
          <w:numId w:val="2"/>
        </w:numPr>
        <w:spacing w:after="100" w:line="276"/>
      </w:pPr>
      <w:r>
        <w:rPr>
          <w:b/>
          <w:bCs/>
        </w:rPr>
        <w:t xml:space="preserve">Fonds Chaleur. </w:t>
      </w:r>
      <w:r>
        <w:t xml:space="preserve">Financement des installations de chaleur et de froid renouvelables (jusqu'à environ 50 % du coût), ouvert aux entreprises du tertiaire, de l'industrie et de l'agriculture — utile pour le rafraîchissement par géothermie, aérothermie ou réseaux d'eau tempérée.</w:t>
      </w:r>
    </w:p>
    <w:p>
      <w:pPr>
        <w:pStyle w:val="ListParagraph"/>
        <w:numPr>
          <w:ilvl w:val="0"/>
          <w:numId w:val="2"/>
        </w:numPr>
        <w:spacing w:after="100" w:line="276"/>
      </w:pPr>
      <w:r>
        <w:rPr>
          <w:b/>
          <w:bCs/>
        </w:rPr>
        <w:t xml:space="preserve">Fonds vert. </w:t>
      </w:r>
      <w:r>
        <w:t xml:space="preserve">Fonds d'accélération de la transition écologique dans les territoires : il finance des projets d'adaptation portés par les collectivités et leurs partenaires (y compris privés), notamment le rafraîchissement urbain.</w:t>
      </w:r>
    </w:p>
    <w:p>
      <w:pPr>
        <w:pStyle w:val="ListParagraph"/>
        <w:numPr>
          <w:ilvl w:val="0"/>
          <w:numId w:val="2"/>
        </w:numPr>
        <w:spacing w:after="100" w:line="276"/>
      </w:pPr>
      <w:r>
        <w:rPr>
          <w:b/>
          <w:bCs/>
        </w:rPr>
        <w:t xml:space="preserve">Fonds Barnier (FPRNM). </w:t>
      </w:r>
      <w:r>
        <w:t xml:space="preserve">Spécifiquement dédié à la prévention des risques naturels : études, travaux et équipements de protection. Mobilisable, sous conditions, par les entreprises de moins de 20 salariés — c'est le dispositif le plus directement orienté « réduction du risque ».</w:t>
      </w:r>
    </w:p>
    <w:p>
      <w:pPr>
        <w:pStyle w:val="ListParagraph"/>
        <w:numPr>
          <w:ilvl w:val="0"/>
          <w:numId w:val="2"/>
        </w:numPr>
        <w:spacing w:after="100" w:line="276"/>
      </w:pPr>
      <w:r>
        <w:rPr>
          <w:b/>
          <w:bCs/>
        </w:rPr>
        <w:t xml:space="preserve">Agences de l'eau. </w:t>
      </w:r>
      <w:r>
        <w:t xml:space="preserve">Subventions et prêts pour l'adaptation à la sécheresse et la gestion de la ressource en eau (économies d'eau, zones humides), renforcés dans le cadre du Plan Eau.</w:t>
      </w:r>
    </w:p>
    <w:p>
      <w:pPr>
        <w:pStyle w:val="ListParagraph"/>
        <w:numPr>
          <w:ilvl w:val="0"/>
          <w:numId w:val="2"/>
        </w:numPr>
        <w:spacing w:after="100" w:line="276"/>
      </w:pPr>
      <w:r>
        <w:rPr>
          <w:b/>
          <w:bCs/>
        </w:rPr>
        <w:t xml:space="preserve">Certificats d'économies d'énergie (CEE). </w:t>
      </w:r>
      <w:r>
        <w:t xml:space="preserve">Primes versées par les fournisseurs d'énergie pour les opérations d'efficacité énergétique, avec des bonifications pour les TPE-PME.</w:t>
      </w:r>
    </w:p>
    <w:p>
      <w:pPr>
        <w:pStyle w:val="Heading2"/>
      </w:pPr>
      <w:r>
        <w:t xml:space="preserve">Financements et leviers fiscaux</w:t>
      </w:r>
    </w:p>
    <w:p>
      <w:pPr>
        <w:pStyle w:val="ListParagraph"/>
        <w:numPr>
          <w:ilvl w:val="0"/>
          <w:numId w:val="2"/>
        </w:numPr>
        <w:spacing w:after="100" w:line="276"/>
      </w:pPr>
      <w:r>
        <w:rPr>
          <w:b/>
          <w:bCs/>
        </w:rPr>
        <w:t xml:space="preserve">Prêts verts et prêts à impact. </w:t>
      </w:r>
      <w:r>
        <w:t xml:space="preserve">Prêt Vert ADEME / Bpifrance orienté TPE-PME, prêts à impact dont les conditions peuvent être indexées sur des objectifs environnementaux, et obligations vertes pour les structures émettrices.</w:t>
      </w:r>
    </w:p>
    <w:p>
      <w:pPr>
        <w:pStyle w:val="ListParagraph"/>
        <w:numPr>
          <w:ilvl w:val="0"/>
          <w:numId w:val="2"/>
        </w:numPr>
        <w:spacing w:after="100" w:line="276"/>
      </w:pPr>
      <w:r>
        <w:rPr>
          <w:b/>
          <w:bCs/>
        </w:rPr>
        <w:t xml:space="preserve">Suramortissement et crédits d'impôt. </w:t>
      </w:r>
      <w:r>
        <w:t xml:space="preserve">Déduction exceptionnelle pour certains investissements verts (le suramortissement permet de déduire une fraction supplémentaire de la valeur du bien) et crédits d'impôt ciblés. Contrairement à une « provision pour investissement », ces mécanismes portent directement sur l'actif acquis.</w:t>
      </w:r>
    </w:p>
    <w:p>
      <w:pPr>
        <w:pStyle w:val="ListParagraph"/>
        <w:numPr>
          <w:ilvl w:val="0"/>
          <w:numId w:val="2"/>
        </w:numPr>
        <w:spacing w:after="100" w:line="276"/>
      </w:pPr>
      <w:r>
        <w:rPr>
          <w:b/>
          <w:bCs/>
        </w:rPr>
        <w:t xml:space="preserve">Autofinancement. </w:t>
      </w:r>
      <w:r>
        <w:t xml:space="preserve">Mobilisation de la capacité d'autofinancement : la ressource la plus souple, mais qui suppose une rentabilité préalable.</w:t>
      </w:r>
    </w:p>
    <w:p>
      <w:pPr>
        <w:pStyle w:val="ListParagraph"/>
        <w:numPr>
          <w:ilvl w:val="0"/>
          <w:numId w:val="2"/>
        </w:numPr>
        <w:spacing w:after="100" w:line="276"/>
      </w:pPr>
      <w:r>
        <w:rPr>
          <w:b/>
          <w:bCs/>
        </w:rPr>
        <w:t xml:space="preserve">Subventions d'investissement. </w:t>
      </w:r>
      <w:r>
        <w:t xml:space="preserve">Comptabilisées au passif, puis reprises au rythme de l'amortissement du bien financé.</w:t>
      </w:r>
    </w:p>
    <w:p>
      <w:pPr>
        <w:spacing w:after="160" w:line="276"/>
      </w:pPr>
      <w:r>
        <w:t xml:space="preserve">Pour les structures de l'économie sociale et solidaire (associations, coopératives), s'ajoutent des ressources spécifiques : fonds dédiés, subventions fléchées, financements solidaires et emprunts adaptés. La plupart de ces aides sont cumulables sous conditions (règle de minimis, plafonds par dispositif) ; le montage dépend de la forme juridique, de la rentabilité et de la nature de l'investissement. Les Directions régionales de l'ADEME constituent le point de contact à privilégier en amont.</w:t>
      </w:r>
    </w:p>
    <w:p>
      <w:pPr>
        <w:spacing w:after="200" w:before="60"/>
      </w:pPr>
      <w:r>
        <w:rPr>
          <w:i/>
          <w:iCs/>
          <w:color w:val="555555"/>
          <w:sz w:val="18"/>
          <w:szCs w:val="18"/>
        </w:rPr>
        <w:t xml:space="preserve">À noter : beaucoup de dispositifs visent d'abord la décarbonation (réduction des émissions) ; l'adaptation proprement dite (réduction de l'exposition aux aléas) est surtout portée par le Fonds Barnier, le Fonds vert et les agences de l'eau.</w:t>
      </w:r>
    </w:p>
    <w:p>
      <w:pPr>
        <w:pStyle w:val="Heading1"/>
      </w:pPr>
      <w:r>
        <w:t xml:space="preserve">6. À retenir</w:t>
      </w:r>
    </w:p>
    <w:p>
      <w:pPr>
        <w:pStyle w:val="ListParagraph"/>
        <w:numPr>
          <w:ilvl w:val="0"/>
          <w:numId w:val="2"/>
        </w:numPr>
        <w:spacing w:after="100" w:line="276"/>
      </w:pPr>
      <w:r>
        <w:t xml:space="preserve">Le risque est une notion large ; la provision pour risques, une notion étroite, réservée aux obligations envers un tiers nées d'un événement passé.</w:t>
      </w:r>
    </w:p>
    <w:p>
      <w:pPr>
        <w:pStyle w:val="ListParagraph"/>
        <w:numPr>
          <w:ilvl w:val="0"/>
          <w:numId w:val="2"/>
        </w:numPr>
        <w:spacing w:after="100" w:line="276"/>
      </w:pPr>
      <w:r>
        <w:t xml:space="preserve">Le dommage causé à autrui n'est qu'un cas d'obligation envers un tiers parmi d'autres ; le risque climatique diffus, lui, ne se provisionne pas et relève de l'information en annexe et du reporting de durabilité.</w:t>
      </w:r>
    </w:p>
    <w:p>
      <w:pPr>
        <w:pStyle w:val="ListParagraph"/>
        <w:numPr>
          <w:ilvl w:val="0"/>
          <w:numId w:val="2"/>
        </w:numPr>
        <w:spacing w:after="100" w:line="276"/>
      </w:pPr>
      <w:r>
        <w:t xml:space="preserve">Lorsqu'une structure veut provisionner un risque que le droit commun ignore (aléas des adhérents, investissement futur), il faut une loi spéciale : c'est sur cette base légale, et non sur le principe comptable, que repose la dérogation.</w:t>
      </w:r>
    </w:p>
    <w:p>
      <w:pPr>
        <w:pStyle w:val="ListParagraph"/>
        <w:numPr>
          <w:ilvl w:val="0"/>
          <w:numId w:val="2"/>
        </w:numPr>
        <w:spacing w:after="100" w:line="276"/>
      </w:pPr>
      <w:r>
        <w:t xml:space="preserve">Une provision ne « passe » pas à l'actif : le lien avec l'investissement est l'autofinancement. La réserve retient le résultat, la trésorerie s'accumule à l'actif, puis se convertit en immobilisation — un actif mobilisé qui réduit le risque. Le pont entre les deux est temporel.</w:t>
      </w:r>
    </w:p>
    <w:p>
      <w:pPr>
        <w:pStyle w:val="ListParagraph"/>
        <w:numPr>
          <w:ilvl w:val="0"/>
          <w:numId w:val="2"/>
        </w:numPr>
        <w:spacing w:after="100" w:line="276"/>
      </w:pPr>
      <w:r>
        <w:t xml:space="preserve">Assurance et provision de soutien couvrent les conséquences du sinistre ; seul l'investissement d'adaptation en réduit les causes. Des aides existent pour le financer, mais elles restent partielles — et aucune provision ne le flèche. Comme le coût du risque croît, c'est pourtant le levier dont la rentabilité s'améliore avec le temps.</w:t>
      </w:r>
    </w:p>
    <w:p>
      <w:pPr>
        <w:pStyle w:val="ListParagraph"/>
        <w:numPr>
          <w:ilvl w:val="0"/>
          <w:numId w:val="2"/>
        </w:numPr>
        <w:spacing w:after="100" w:line="276"/>
      </w:pPr>
      <w:r>
        <w:t xml:space="preserve">L'investissement, lui, ne se finance pas par une provision mais par des ressources réelles : autofinancement, dette verte, aides ADEME / Bpifrance, leviers fiscaux et subventions.</w:t>
      </w:r>
    </w:p>
    <w:p>
      <w:pPr>
        <w:pStyle w:val="Heading1"/>
      </w:pPr>
      <w:r>
        <w:t xml:space="preserve">7. Conclusions</w:t>
      </w:r>
    </w:p>
    <w:p>
      <w:pPr>
        <w:spacing w:after="160" w:line="276"/>
      </w:pPr>
      <w:r>
        <w:rPr>
          <w:b/>
          <w:bCs/>
        </w:rPr>
        <w:t xml:space="preserve">Oui, on peut provisionner un risque dans l'agriculture — mais par dérogation. </w:t>
      </w:r>
      <w:r>
        <w:t xml:space="preserve">Le droit commun l'interdit (un aléa subi ne crée pas d'obligation envers un tiers), mais la loi du 2 mars 2022 l'autorise spécifiquement pour les coopératives agricoles. La possibilité existe donc, à condition d'avoir une base légale dédiée ; elle n'est pas ouverte à toute entreprise.</w:t>
      </w:r>
    </w:p>
    <w:p>
      <w:pPr>
        <w:spacing w:after="160" w:line="276"/>
      </w:pPr>
      <w:r>
        <w:rPr>
          <w:b/>
          <w:bCs/>
        </w:rPr>
        <w:t xml:space="preserve">Le levier passe par la coopérative, pour protéger ses adhérents. </w:t>
      </w:r>
      <w:r>
        <w:t xml:space="preserve">Le dispositif est la « provision pour engagement de soutien des coopérateurs face aux aléas agricoles ». Son fondement n'est pas un dommage causé à un tiers, mais un engagement de soutien envers les associés, que la loi a rendu opposable. Sa finalité est la protection du revenu des adhérents.</w:t>
      </w:r>
    </w:p>
    <w:p>
      <w:pPr>
        <w:spacing w:after="160" w:line="276"/>
      </w:pPr>
      <w:r>
        <w:rPr>
          <w:b/>
          <w:bCs/>
        </w:rPr>
        <w:t xml:space="preserve">Ces sommes financent un emploi réel — mais il faut être précis sur le chemin. </w:t>
      </w:r>
      <w:r>
        <w:t xml:space="preserve">Une provision ne « passe » jamais à l'actif et ne se « débloque » pas vers un investissement : elle reste au passif et sa reprise ne génère aucun flux. Le lien réel est l'autofinancement, et il est temporel. En retenant le résultat (au lieu de le distribuer), la mise en réserve laisse la trésorerie s'accumuler à l'actif pendant les exercices qui précèdent ; le jour de l'investissement, cette trésorerie est convertie en immobilisation. Au bout de ce pont, on obtient un actif mobilisé : un bien durable mis au travail, qui produit un rendement répété. La provision ne contient pas l'argent — elle l'empêche de sortir, le temps que l'investissement se réalise.</w:t>
      </w:r>
    </w:p>
    <w:p>
      <w:pPr>
        <w:spacing w:after="160" w:line="276"/>
      </w:pPr>
      <w:r>
        <w:rPr>
          <w:b/>
          <w:bCs/>
        </w:rPr>
        <w:t xml:space="preserve">Mais ces provisions ne sont pas tracées vers l'investissement. </w:t>
      </w:r>
      <w:r>
        <w:t xml:space="preserve">La provision pour aléas des coopératives suit la logique inverse : « un euro provisionné, un euro reversé » aux adhérents. C'est de la redistribution de revenu, pas du financement d'actif. Le seul dispositif qui lie réellement une « provision » à un investissement est celui des SCOP — mais c'est une réserve défiscalisée, qui borne dans le temps le pont vers l'immobilisation (emploi obligatoire sous deux ans), et qui vise l'investissement en général, non l'adaptation climatique.</w:t>
      </w:r>
    </w:p>
    <w:p>
      <w:pPr>
        <w:spacing w:after="160" w:line="276"/>
      </w:pPr>
      <w:r>
        <w:rPr>
          <w:b/>
          <w:bCs/>
        </w:rPr>
        <w:t xml:space="preserve">Or les assureurs intègrent déjà un risque croissant — encore peu traité à la source. </w:t>
      </w:r>
      <w:r>
        <w:t xml:space="preserve">Les travaux actuariels le montrent : le risque climatique n'est plus stationnaire, et les assureurs doivent en tenir compte dans leurs provisions techniques et leurs primes. Ni l'assurance (qui transfère) ni les provisions de redistribution (qui amortissent) ne réduisent l'exposition. Seul l'investissement d'adaptation agit sur les causes. Des dispositifs existent pour le financer (Fonds Barnier, Fonds vert, agences de l'eau, suramortissement), mais ils restent dispersés, surtout orientés vers la décarbonation plutôt que l'adaptation, et modestes au regard de l'enjeu. Surtout, aucun mécanisme de provision ne flèche aujourd'hui une mise de côté vers la réduction du risque climatique — c'est là que se situe l'angle mort.</w:t>
      </w:r>
    </w:p>
    <w:p>
      <w:pPr>
        <w:pBdr>
          <w:left w:val="single" w:color="3C6E47" w:sz="18" w:space="8"/>
        </w:pBdr>
        <w:shd w:fill="EEF2EC" w:val="clear"/>
        <w:spacing w:after="200" w:before="60"/>
      </w:pPr>
      <w:r>
        <w:rPr>
          <w:i/>
          <w:iCs/>
          <w:color w:val="2D3049"/>
          <w:sz w:val="21"/>
          <w:szCs w:val="21"/>
        </w:rPr>
        <w:t xml:space="preserve">Le constat final : on sait provisionner pour redistribuer (coopératives) et défiscaliser pour investir (SCOP), et des aides existent pour l'adaptation — mais aucun véhicule ne met de côté spécifiquement pour financer la réduction du risque climatique. Face à un risque que les assureurs voient croître, le pont de l'autofinancement — du résultat retenu jusqu'à l'actif mobilisé — reste le levier le plus solide, parce qu'interne, durable et de rendement croissant.</w:t>
      </w:r>
    </w:p>
    <w:p>
      <w:pPr>
        <w:pStyle w:val="Heading2"/>
      </w:pPr>
      <w:r>
        <w:t xml:space="preserve">Un cas particulier d'un blocage plus large</w:t>
      </w:r>
    </w:p>
    <w:p>
      <w:pPr>
        <w:spacing w:after="160" w:line="276"/>
      </w:pPr>
      <w:r>
        <w:t xml:space="preserve">Ce blocage des provisions n'est pas isolé : il est le symétrique, au passif, d'un blocage bien connu à l'actif. Les normes comptables internationales ne permettent pas de valoriser les externalités positives des pratiques régénératives — sauf exception sectorielle obtenue par lobbying, comme la norme IFRS 6 qui autorise les industries extractives à inscrire leurs réserves non exploitées à l'actif. On retrouve la même mécanique des deux côtés du bilan : une règle générale qui ferme, et des dérogations ciblées arrachées par certains acteurs. Côté actif, on ne peut pas inscrire le capital naturel que l'on crée ; côté passif, on ne peut pas provisionner le risque climatique que l'on subit — ni le flécher vers l'investissement qui le réduirait.</w:t>
      </w:r>
    </w:p>
    <w:p>
      <w:pPr>
        <w:spacing w:after="160" w:line="276"/>
      </w:pPr>
      <w:r>
        <w:t xml:space="preserve">C'est pourquoi le « pont de l'autofinancement » décrit ici a une portée qui dépasse la seule question des provisions : faute de pouvoir inscrire le capital naturel à l'actif ou de provisionner le risque, l'entreprise peut au moins transformer du résultat retenu en actif mobilisé qui renforce sa résilience. C'est un contournement pragmatique du mur comptable, en attendant que les normes évoluent. Cette note s'inscrit dans les travaux du groupe de réflexion « Économie régénérative en triple impacts localisés » de Nous Sommes Vivants, et plus précisément dans la démonstration que la performance économique s'indexe sur la santé du vivant : l'investissement d'adaptation est, en matière de risque climatique, l'expression financière de cette indexation.</w:t>
      </w:r>
    </w:p>
    <w:p>
      <w:pPr>
        <w:pBdr>
          <w:top w:val="single" w:color="CCCCCC" w:sz="4" w:space="6"/>
        </w:pBdr>
        <w:spacing w:before="280"/>
      </w:pPr>
      <w:r>
        <w:rPr>
          <w:i/>
          <w:iCs/>
          <w:color w:val="555555"/>
          <w:sz w:val="18"/>
          <w:szCs w:val="18"/>
        </w:rPr>
        <w:t xml:space="preserve">Cette note a une vocation d'information générale et ne constitue pas un conseil juridique ou fiscal personnalisé. Les dispositifs cités relèvent de régimes spécifiques dont l'application doit être vérifiée au cas par cas, notamment auprès d'un expert-comptable ou d'un conseil fiscal.</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jc w:val="center"/>
    </w:pPr>
    <w:r>
      <w:rPr>
        <w:color w:val="555555"/>
        <w:sz w:val="16"/>
        <w:szCs w:val="16"/>
      </w:rPr>
      <w:t xml:space="preserve">Note d'information — Provisions pour risques et provisions dérogatoires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2D3049"/>
      <w:sz w:val="28"/>
      <w:szCs w:val="28"/>
    </w:rPr>
  </w:style>
  <w:style w:type="paragraph" w:styleId="Heading2">
    <w:name w:val="Heading 2"/>
    <w:basedOn w:val="Normal"/>
    <w:next w:val="Normal"/>
    <w:qFormat/>
    <w:pPr>
      <w:spacing w:after="120" w:before="200"/>
      <w:outlineLvl w:val="1"/>
    </w:pPr>
    <w:rPr>
      <w:rFonts w:ascii="Arial" w:cs="Arial" w:eastAsia="Arial" w:hAnsi="Arial"/>
      <w:b/>
      <w:bCs/>
      <w:color w:val="3C6E4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5697145080ca6ef9be0d5e2ac7b499ee30dcaed0.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2026-06-25T09:07:06.575Z</dcterms:created>
  <dcterms:modified xsi:type="dcterms:W3CDTF">2026-06-25T09:07:06.575Z</dcterms:modified>
</cp:coreProperties>
</file>

<file path=docProps/custom.xml><?xml version="1.0" encoding="utf-8"?>
<Properties xmlns="http://schemas.openxmlformats.org/officeDocument/2006/custom-properties" xmlns:vt="http://schemas.openxmlformats.org/officeDocument/2006/docPropsVTypes"/>
</file>